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bookmarkStart w:id="0" w:name="_GoBack"/>
      <w:bookmarkEnd w:id="0"/>
    </w:p>
    <w:p>
      <w:pPr>
        <w:spacing w:line="584" w:lineRule="exact"/>
        <w:rPr>
          <w:rFonts w:ascii="方正小标宋简体" w:eastAsia="方正小标宋简体"/>
          <w:sz w:val="44"/>
          <w:szCs w:val="44"/>
        </w:rPr>
      </w:pPr>
    </w:p>
    <w:p>
      <w:pPr>
        <w:spacing w:line="584" w:lineRule="exact"/>
        <w:ind w:firstLine="60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2016年香河县统计局部门决算信息公开</w:t>
      </w:r>
    </w:p>
    <w:p>
      <w:pPr>
        <w:spacing w:line="584"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情况</w:t>
      </w:r>
    </w:p>
    <w:p>
      <w:pPr>
        <w:widowControl/>
        <w:spacing w:line="584" w:lineRule="exact"/>
        <w:jc w:val="center"/>
        <w:rPr>
          <w:rFonts w:ascii="方正小标宋简体" w:eastAsia="方正小标宋简体"/>
          <w:sz w:val="44"/>
          <w:szCs w:val="44"/>
        </w:rPr>
      </w:pP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按照《预算法》、《河北省财政厅关于印发&lt;河北省预决算公开操作规程实施细则&gt;的通知》（冀财预</w:t>
      </w:r>
      <w:r>
        <w:rPr>
          <w:rFonts w:ascii="Calibri" w:hAnsi="Calibri" w:eastAsia="宋体" w:cs="Times New Roman"/>
          <w:sz w:val="32"/>
          <w:szCs w:val="32"/>
        </w:rPr>
        <w:t>﹝</w:t>
      </w:r>
      <w:r>
        <w:rPr>
          <w:rFonts w:ascii="Calibri" w:hAnsi="Calibri" w:eastAsia="仿宋_GB2312" w:cs="Times New Roman"/>
          <w:sz w:val="32"/>
          <w:szCs w:val="32"/>
        </w:rPr>
        <w:t>2016</w:t>
      </w:r>
      <w:r>
        <w:rPr>
          <w:rFonts w:ascii="Calibri" w:hAnsi="Calibri" w:eastAsia="宋体" w:cs="Times New Roman"/>
          <w:sz w:val="32"/>
          <w:szCs w:val="32"/>
        </w:rPr>
        <w:t>﹞</w:t>
      </w:r>
      <w:r>
        <w:rPr>
          <w:rFonts w:ascii="Calibri" w:hAnsi="Calibri" w:eastAsia="仿宋_GB2312" w:cs="Times New Roman"/>
          <w:sz w:val="32"/>
          <w:szCs w:val="32"/>
        </w:rPr>
        <w:t>129号）等规定，现将</w:t>
      </w:r>
      <w:r>
        <w:rPr>
          <w:rFonts w:hint="eastAsia" w:ascii="仿宋_GB2312" w:hAnsi="Times New Roman" w:eastAsia="仿宋_GB2312" w:cs="Times New Roman"/>
          <w:sz w:val="32"/>
          <w:szCs w:val="32"/>
        </w:rPr>
        <w:t>河北省廊坊市香河县统计局</w:t>
      </w:r>
      <w:r>
        <w:rPr>
          <w:rFonts w:ascii="Calibri" w:hAnsi="Calibri" w:eastAsia="仿宋_GB2312" w:cs="Times New Roman"/>
          <w:sz w:val="32"/>
          <w:szCs w:val="32"/>
        </w:rPr>
        <w:t>2016年部门决算公开如下：</w:t>
      </w:r>
    </w:p>
    <w:p>
      <w:pPr>
        <w:widowControl/>
        <w:numPr>
          <w:ilvl w:val="0"/>
          <w:numId w:val="1"/>
        </w:numPr>
        <w:spacing w:line="584" w:lineRule="exact"/>
        <w:ind w:firstLine="640" w:firstLineChars="200"/>
        <w:jc w:val="left"/>
        <w:rPr>
          <w:rFonts w:ascii="Calibri" w:hAnsi="Calibri" w:eastAsia="黑体" w:cs="Times New Roman"/>
          <w:sz w:val="32"/>
          <w:szCs w:val="32"/>
        </w:rPr>
      </w:pPr>
      <w:r>
        <w:rPr>
          <w:rFonts w:ascii="Calibri" w:hAnsi="Calibri" w:eastAsia="黑体" w:cs="Times New Roman"/>
          <w:sz w:val="32"/>
          <w:szCs w:val="32"/>
        </w:rPr>
        <w:t>部门职责及机构设置情况</w:t>
      </w:r>
    </w:p>
    <w:p>
      <w:pPr>
        <w:ind w:firstLine="560" w:firstLineChars="200"/>
        <w:rPr>
          <w:rFonts w:ascii="仿宋" w:hAnsi="仿宋" w:eastAsia="仿宋" w:cs="Times New Roman"/>
          <w:b/>
          <w:sz w:val="32"/>
          <w:szCs w:val="32"/>
        </w:rPr>
      </w:pPr>
      <w:r>
        <w:rPr>
          <w:rFonts w:hint="eastAsia" w:ascii="黑体" w:hAnsi="黑体" w:eastAsia="黑体" w:cs="Times New Roman"/>
          <w:sz w:val="28"/>
          <w:szCs w:val="28"/>
        </w:rPr>
        <w:t>部门</w:t>
      </w:r>
      <w:r>
        <w:rPr>
          <w:rFonts w:ascii="黑体" w:hAnsi="黑体" w:eastAsia="黑体" w:cs="Times New Roman"/>
          <w:sz w:val="28"/>
          <w:szCs w:val="28"/>
        </w:rPr>
        <w:t>职责</w:t>
      </w:r>
      <w:r>
        <w:rPr>
          <w:rFonts w:ascii="仿宋" w:hAnsi="仿宋" w:eastAsia="仿宋" w:cs="Times New Roman"/>
          <w:b/>
          <w:sz w:val="32"/>
          <w:szCs w:val="32"/>
        </w:rPr>
        <w:t>：</w:t>
      </w:r>
    </w:p>
    <w:p>
      <w:pPr>
        <w:ind w:firstLine="56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宋体"/>
          <w:sz w:val="32"/>
          <w:szCs w:val="32"/>
        </w:rPr>
        <w:t>、依照国家和省颁布的法律、法规和政策，制定地方性统计工作规章制度和统计现代化建设计划，检查。监督统计法律、法规的实施。</w:t>
      </w:r>
    </w:p>
    <w:p>
      <w:pPr>
        <w:ind w:firstLine="56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宋体"/>
          <w:sz w:val="32"/>
          <w:szCs w:val="32"/>
        </w:rPr>
        <w:t>、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ind w:firstLine="56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宋体"/>
          <w:sz w:val="32"/>
          <w:szCs w:val="32"/>
        </w:rPr>
        <w:t>、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ind w:firstLine="56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宋体"/>
          <w:sz w:val="32"/>
          <w:szCs w:val="32"/>
        </w:rPr>
        <w:t>、统一核定、管理全县性的基本统计资料，发布全县国民经济和社会发展情况的统计信息。</w:t>
      </w:r>
    </w:p>
    <w:p>
      <w:pPr>
        <w:ind w:firstLine="56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宋体"/>
          <w:sz w:val="32"/>
          <w:szCs w:val="32"/>
        </w:rPr>
        <w:t>、承办县委、县政府交办的其他事项。</w:t>
      </w:r>
    </w:p>
    <w:p>
      <w:pPr>
        <w:ind w:firstLine="560" w:firstLineChars="200"/>
        <w:rPr>
          <w:rFonts w:ascii="仿宋" w:hAnsi="仿宋" w:eastAsia="仿宋" w:cs="Times New Roman"/>
          <w:b/>
          <w:sz w:val="32"/>
          <w:szCs w:val="32"/>
        </w:rPr>
      </w:pPr>
      <w:r>
        <w:rPr>
          <w:rFonts w:hint="eastAsia" w:ascii="黑体" w:hAnsi="黑体" w:eastAsia="黑体" w:cs="Times New Roman"/>
          <w:sz w:val="28"/>
          <w:szCs w:val="28"/>
        </w:rPr>
        <w:t>机构设置</w:t>
      </w:r>
      <w:r>
        <w:rPr>
          <w:rFonts w:hint="eastAsia" w:ascii="仿宋" w:hAnsi="仿宋" w:eastAsia="仿宋" w:cs="Times New Roman"/>
          <w:b/>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经费保障形式包括：财政拨款（行政）、财政性资金基本保证（全额事业）、财政性资金定额或定向补助（差额事业）、财政性资金零补助（自收自支）</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香河县统计局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spacing w:line="584" w:lineRule="exact"/>
        <w:ind w:firstLine="640"/>
        <w:rPr>
          <w:rFonts w:ascii="Calibri" w:hAnsi="Calibri" w:eastAsia="黑体" w:cs="Times New Roman"/>
          <w:sz w:val="32"/>
          <w:szCs w:val="32"/>
        </w:rPr>
      </w:pPr>
      <w:r>
        <w:rPr>
          <w:rFonts w:ascii="Calibri" w:hAnsi="Calibri" w:eastAsia="黑体" w:cs="Times New Roman"/>
          <w:sz w:val="28"/>
          <w:szCs w:val="28"/>
        </w:rPr>
        <w:t>二、</w:t>
      </w:r>
      <w:r>
        <w:rPr>
          <w:rFonts w:ascii="Calibri" w:hAnsi="Calibri" w:eastAsia="黑体" w:cs="Times New Roman"/>
          <w:sz w:val="32"/>
          <w:szCs w:val="32"/>
        </w:rPr>
        <w:t>部门决算报表（附表）</w:t>
      </w:r>
    </w:p>
    <w:p>
      <w:pPr>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28"/>
          <w:szCs w:val="28"/>
        </w:rPr>
      </w:pP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三、2016年度部门决算情况说明</w:t>
      </w:r>
    </w:p>
    <w:p>
      <w:pPr>
        <w:spacing w:line="584" w:lineRule="exact"/>
        <w:ind w:firstLine="640"/>
        <w:rPr>
          <w:rFonts w:hint="eastAsia" w:ascii="仿宋" w:hAnsi="仿宋" w:eastAsia="仿宋" w:cs="Times New Roman"/>
          <w:sz w:val="32"/>
          <w:szCs w:val="32"/>
        </w:rPr>
      </w:pPr>
      <w:r>
        <w:rPr>
          <w:rFonts w:hint="eastAsia" w:ascii="仿宋" w:hAnsi="仿宋" w:eastAsia="仿宋" w:cs="Times New Roman"/>
          <w:sz w:val="32"/>
          <w:szCs w:val="32"/>
        </w:rPr>
        <w:t>我单位为1级预算单位</w:t>
      </w:r>
      <w:r>
        <w:rPr>
          <w:rFonts w:ascii="仿宋" w:hAnsi="仿宋" w:eastAsia="仿宋" w:cs="Times New Roman"/>
          <w:sz w:val="32"/>
          <w:szCs w:val="32"/>
        </w:rPr>
        <w:t>，无下属单位，</w:t>
      </w:r>
      <w:r>
        <w:rPr>
          <w:rFonts w:hint="eastAsia" w:ascii="仿宋" w:hAnsi="仿宋" w:eastAsia="仿宋" w:cs="Times New Roman"/>
          <w:sz w:val="32"/>
          <w:szCs w:val="32"/>
        </w:rPr>
        <w:t>无汇</w:t>
      </w:r>
      <w:r>
        <w:rPr>
          <w:rFonts w:ascii="仿宋" w:hAnsi="仿宋" w:eastAsia="仿宋" w:cs="Times New Roman"/>
          <w:sz w:val="32"/>
          <w:szCs w:val="32"/>
        </w:rPr>
        <w:t>总决算</w:t>
      </w:r>
      <w:r>
        <w:rPr>
          <w:rFonts w:hint="eastAsia" w:ascii="仿宋" w:hAnsi="仿宋" w:eastAsia="仿宋" w:cs="Times New Roman"/>
          <w:sz w:val="32"/>
          <w:szCs w:val="32"/>
        </w:rPr>
        <w:t>。</w:t>
      </w:r>
    </w:p>
    <w:p>
      <w:pPr>
        <w:snapToGrid w:val="0"/>
        <w:spacing w:line="584" w:lineRule="exact"/>
        <w:ind w:firstLine="640"/>
        <w:rPr>
          <w:rFonts w:ascii="Calibri" w:hAnsi="Calibri" w:eastAsia="仿宋_GB2312" w:cs="Times New Roman"/>
          <w:sz w:val="32"/>
          <w:szCs w:val="32"/>
        </w:rPr>
      </w:pPr>
      <w:r>
        <w:rPr>
          <w:rFonts w:ascii="Calibri" w:hAnsi="Calibri" w:eastAsia="仿宋_GB2312" w:cs="Times New Roman"/>
          <w:sz w:val="32"/>
          <w:szCs w:val="32"/>
        </w:rPr>
        <w:t>（一）收入支出决算总体情况说明</w:t>
      </w:r>
    </w:p>
    <w:p>
      <w:pPr>
        <w:snapToGrid w:val="0"/>
        <w:spacing w:line="584" w:lineRule="exact"/>
        <w:ind w:firstLine="640"/>
        <w:rPr>
          <w:rFonts w:ascii="Calibri" w:hAnsi="Calibri" w:eastAsia="仿宋_GB2312" w:cs="Times New Roman"/>
          <w:sz w:val="32"/>
          <w:szCs w:val="32"/>
        </w:rPr>
      </w:pPr>
      <w:r>
        <w:rPr>
          <w:rFonts w:hint="eastAsia" w:ascii="Calibri" w:hAnsi="Calibri" w:eastAsia="仿宋_GB2312" w:cs="Times New Roman"/>
          <w:sz w:val="32"/>
          <w:szCs w:val="32"/>
        </w:rPr>
        <w:t>2</w:t>
      </w:r>
      <w:r>
        <w:rPr>
          <w:rFonts w:ascii="Calibri" w:hAnsi="Calibri" w:eastAsia="仿宋_GB2312" w:cs="Times New Roman"/>
          <w:sz w:val="32"/>
          <w:szCs w:val="32"/>
        </w:rPr>
        <w:t>016</w:t>
      </w:r>
      <w:r>
        <w:rPr>
          <w:rFonts w:hint="eastAsia" w:ascii="Calibri" w:hAnsi="Calibri" w:eastAsia="仿宋_GB2312" w:cs="Times New Roman"/>
          <w:sz w:val="32"/>
          <w:szCs w:val="32"/>
        </w:rPr>
        <w:t>年度</w:t>
      </w:r>
      <w:r>
        <w:rPr>
          <w:rFonts w:ascii="Calibri" w:hAnsi="Calibri" w:eastAsia="仿宋_GB2312" w:cs="Times New Roman"/>
          <w:sz w:val="32"/>
          <w:szCs w:val="32"/>
        </w:rPr>
        <w:t>本部门</w:t>
      </w:r>
      <w:r>
        <w:rPr>
          <w:rFonts w:hint="eastAsia" w:ascii="Calibri" w:hAnsi="Calibri" w:eastAsia="仿宋_GB2312" w:cs="Times New Roman"/>
          <w:sz w:val="32"/>
          <w:szCs w:val="32"/>
        </w:rPr>
        <w:t>财政拨款收入512万元，其他收入23.3万元</w:t>
      </w:r>
      <w:r>
        <w:rPr>
          <w:rFonts w:ascii="Calibri" w:hAnsi="Calibri" w:eastAsia="仿宋_GB2312" w:cs="Times New Roman"/>
          <w:sz w:val="32"/>
          <w:szCs w:val="32"/>
        </w:rPr>
        <w:t>，共计</w:t>
      </w:r>
      <w:r>
        <w:rPr>
          <w:rFonts w:hint="eastAsia" w:ascii="Calibri" w:hAnsi="Calibri" w:eastAsia="仿宋_GB2312" w:cs="Times New Roman"/>
          <w:sz w:val="32"/>
          <w:szCs w:val="32"/>
        </w:rPr>
        <w:t>535万元</w:t>
      </w:r>
      <w:r>
        <w:rPr>
          <w:rFonts w:ascii="Calibri" w:hAnsi="Calibri" w:eastAsia="仿宋_GB2312" w:cs="Times New Roman"/>
          <w:sz w:val="32"/>
          <w:szCs w:val="32"/>
        </w:rPr>
        <w:t>，</w:t>
      </w:r>
      <w:r>
        <w:rPr>
          <w:rFonts w:hint="eastAsia" w:ascii="Calibri" w:hAnsi="Calibri" w:eastAsia="仿宋_GB2312" w:cs="Times New Roman"/>
          <w:sz w:val="32"/>
          <w:szCs w:val="32"/>
        </w:rPr>
        <w:t>上年结余29.5万元</w:t>
      </w:r>
      <w:r>
        <w:rPr>
          <w:rFonts w:ascii="Calibri" w:hAnsi="Calibri" w:eastAsia="仿宋_GB2312" w:cs="Times New Roman"/>
          <w:sz w:val="32"/>
          <w:szCs w:val="32"/>
        </w:rPr>
        <w:t>，</w:t>
      </w:r>
      <w:r>
        <w:rPr>
          <w:rFonts w:hint="eastAsia" w:ascii="Calibri" w:hAnsi="Calibri" w:eastAsia="仿宋_GB2312" w:cs="Times New Roman"/>
          <w:sz w:val="32"/>
          <w:szCs w:val="32"/>
        </w:rPr>
        <w:t>支出546万元，</w:t>
      </w:r>
      <w:r>
        <w:rPr>
          <w:rFonts w:ascii="Calibri" w:hAnsi="Calibri" w:eastAsia="仿宋_GB2312" w:cs="Times New Roman"/>
          <w:sz w:val="32"/>
          <w:szCs w:val="32"/>
        </w:rPr>
        <w:t>年底结余</w:t>
      </w:r>
      <w:r>
        <w:rPr>
          <w:rFonts w:hint="eastAsia" w:ascii="Calibri" w:hAnsi="Calibri" w:eastAsia="仿宋_GB2312" w:cs="Times New Roman"/>
          <w:sz w:val="32"/>
          <w:szCs w:val="32"/>
        </w:rPr>
        <w:t>18.8万元。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（二）收入决算情况说明</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2</w:t>
      </w:r>
      <w:r>
        <w:rPr>
          <w:rFonts w:ascii="Calibri" w:hAnsi="Calibri" w:eastAsia="仿宋_GB2312" w:cs="Times New Roman"/>
          <w:sz w:val="32"/>
          <w:szCs w:val="32"/>
        </w:rPr>
        <w:t>016</w:t>
      </w:r>
      <w:r>
        <w:rPr>
          <w:rFonts w:hint="eastAsia" w:ascii="Calibri" w:hAnsi="Calibri" w:eastAsia="仿宋_GB2312" w:cs="Times New Roman"/>
          <w:sz w:val="32"/>
          <w:szCs w:val="32"/>
        </w:rPr>
        <w:t>年度</w:t>
      </w:r>
      <w:r>
        <w:rPr>
          <w:rFonts w:ascii="Calibri" w:hAnsi="Calibri" w:eastAsia="仿宋_GB2312" w:cs="Times New Roman"/>
          <w:sz w:val="32"/>
          <w:szCs w:val="32"/>
        </w:rPr>
        <w:t>本部门</w:t>
      </w:r>
      <w:r>
        <w:rPr>
          <w:rFonts w:hint="eastAsia" w:ascii="Calibri" w:hAnsi="Calibri" w:eastAsia="仿宋_GB2312" w:cs="Times New Roman"/>
          <w:sz w:val="32"/>
          <w:szCs w:val="32"/>
        </w:rPr>
        <w:t>财政拨款收入512万元，其他收入23.3万元</w:t>
      </w:r>
      <w:r>
        <w:rPr>
          <w:rFonts w:ascii="Calibri" w:hAnsi="Calibri" w:eastAsia="仿宋_GB2312" w:cs="Times New Roman"/>
          <w:sz w:val="32"/>
          <w:szCs w:val="32"/>
        </w:rPr>
        <w:t>，共计</w:t>
      </w:r>
      <w:r>
        <w:rPr>
          <w:rFonts w:hint="eastAsia" w:ascii="Calibri" w:hAnsi="Calibri" w:eastAsia="仿宋_GB2312" w:cs="Times New Roman"/>
          <w:sz w:val="32"/>
          <w:szCs w:val="32"/>
        </w:rPr>
        <w:t>535万元。</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（三）支出决算情况说明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2016年度支出总计</w:t>
      </w:r>
      <w:r>
        <w:rPr>
          <w:rFonts w:ascii="仿宋_GB2312" w:hAnsi="仿宋_GB2312" w:eastAsia="仿宋_GB2312" w:cs="仿宋_GB2312"/>
          <w:sz w:val="32"/>
          <w:szCs w:val="32"/>
        </w:rPr>
        <w:t>546</w:t>
      </w:r>
      <w:r>
        <w:rPr>
          <w:rFonts w:hint="eastAsia" w:ascii="仿宋_GB2312" w:hAnsi="仿宋_GB2312" w:eastAsia="仿宋_GB2312" w:cs="仿宋_GB2312"/>
          <w:sz w:val="32"/>
          <w:szCs w:val="32"/>
        </w:rPr>
        <w:t>万元，其中：一般公共预算支出</w:t>
      </w:r>
      <w:r>
        <w:rPr>
          <w:rFonts w:ascii="仿宋" w:hAnsi="仿宋" w:eastAsia="仿宋"/>
          <w:sz w:val="32"/>
          <w:szCs w:val="32"/>
        </w:rPr>
        <w:t>522</w:t>
      </w:r>
      <w:r>
        <w:rPr>
          <w:rFonts w:hint="eastAsia" w:ascii="仿宋_GB2312" w:hAnsi="仿宋_GB2312" w:eastAsia="仿宋_GB2312" w:cs="仿宋_GB2312"/>
          <w:sz w:val="32"/>
          <w:szCs w:val="32"/>
        </w:rPr>
        <w:t>万元，主要用于人员经费和日常公共经费及</w:t>
      </w:r>
      <w:r>
        <w:rPr>
          <w:rFonts w:hint="eastAsia" w:ascii="仿宋" w:hAnsi="仿宋" w:eastAsia="仿宋" w:cs="仿宋"/>
          <w:sz w:val="32"/>
          <w:szCs w:val="32"/>
        </w:rPr>
        <w:t>第三次全国农业普查办公经费、印刷费、劳务费、公务用车运行维护费和设备购置等支出</w:t>
      </w:r>
      <w:r>
        <w:rPr>
          <w:rFonts w:hint="eastAsia" w:ascii="仿宋_GB2312" w:hAnsi="仿宋_GB2312" w:eastAsia="仿宋_GB2312" w:cs="仿宋_GB2312"/>
          <w:sz w:val="32"/>
          <w:szCs w:val="32"/>
        </w:rPr>
        <w:t xml:space="preserve">。  </w:t>
      </w:r>
    </w:p>
    <w:p>
      <w:pPr>
        <w:ind w:firstLine="640"/>
        <w:rPr>
          <w:rFonts w:ascii="仿宋" w:hAnsi="仿宋" w:eastAsia="仿宋" w:cs="仿宋"/>
          <w:sz w:val="32"/>
          <w:szCs w:val="32"/>
        </w:rPr>
      </w:pPr>
      <w:r>
        <w:rPr>
          <w:rFonts w:ascii="仿宋_GB2312" w:hAnsi="仿宋_GB2312" w:eastAsia="仿宋_GB2312" w:cs="仿宋_GB2312"/>
          <w:sz w:val="32"/>
          <w:szCs w:val="32"/>
        </w:rPr>
        <w:t xml:space="preserve">  </w:t>
      </w:r>
      <w:r>
        <w:rPr>
          <w:rFonts w:hint="eastAsia" w:ascii="仿宋" w:hAnsi="仿宋" w:eastAsia="仿宋"/>
          <w:sz w:val="32"/>
          <w:szCs w:val="32"/>
        </w:rPr>
        <w:t>比上年增减情况。</w:t>
      </w:r>
      <w:r>
        <w:rPr>
          <w:rFonts w:hint="eastAsia" w:ascii="仿宋" w:hAnsi="仿宋" w:eastAsia="仿宋" w:cs="仿宋"/>
          <w:sz w:val="32"/>
          <w:szCs w:val="32"/>
        </w:rPr>
        <w:t>2016年决算支出安排</w:t>
      </w:r>
      <w:r>
        <w:rPr>
          <w:rFonts w:ascii="仿宋" w:hAnsi="仿宋" w:eastAsia="仿宋" w:cs="仿宋"/>
          <w:sz w:val="32"/>
          <w:szCs w:val="32"/>
        </w:rPr>
        <w:t>546</w:t>
      </w:r>
      <w:r>
        <w:rPr>
          <w:rFonts w:hint="eastAsia" w:ascii="仿宋" w:hAnsi="仿宋" w:eastAsia="仿宋" w:cs="仿宋"/>
          <w:sz w:val="32"/>
          <w:szCs w:val="32"/>
        </w:rPr>
        <w:t>万元，较2015年决算增加</w:t>
      </w:r>
      <w:r>
        <w:rPr>
          <w:rFonts w:ascii="仿宋" w:hAnsi="仿宋" w:eastAsia="仿宋" w:cs="仿宋"/>
          <w:sz w:val="32"/>
          <w:szCs w:val="32"/>
        </w:rPr>
        <w:t>198</w:t>
      </w:r>
      <w:r>
        <w:rPr>
          <w:rFonts w:hint="eastAsia" w:ascii="仿宋" w:hAnsi="仿宋" w:eastAsia="仿宋" w:cs="仿宋"/>
          <w:sz w:val="32"/>
          <w:szCs w:val="32"/>
        </w:rPr>
        <w:t>万元，其中：基本支出增加</w:t>
      </w:r>
      <w:r>
        <w:rPr>
          <w:rFonts w:ascii="仿宋" w:hAnsi="仿宋" w:eastAsia="仿宋" w:cs="仿宋"/>
          <w:sz w:val="32"/>
          <w:szCs w:val="32"/>
        </w:rPr>
        <w:t>198</w:t>
      </w:r>
      <w:r>
        <w:rPr>
          <w:rFonts w:hint="eastAsia" w:ascii="仿宋" w:hAnsi="仿宋" w:eastAsia="仿宋" w:cs="仿宋"/>
          <w:sz w:val="32"/>
          <w:szCs w:val="32"/>
        </w:rPr>
        <w:t>万元，主要为增加人员经费支出，</w:t>
      </w:r>
      <w:r>
        <w:rPr>
          <w:rFonts w:ascii="仿宋" w:hAnsi="仿宋" w:eastAsia="仿宋" w:cs="仿宋"/>
          <w:sz w:val="32"/>
          <w:szCs w:val="32"/>
        </w:rPr>
        <w:t>调整工资</w:t>
      </w:r>
      <w:r>
        <w:rPr>
          <w:rFonts w:hint="eastAsia" w:ascii="仿宋" w:hAnsi="仿宋" w:eastAsia="仿宋" w:cs="仿宋"/>
          <w:sz w:val="32"/>
          <w:szCs w:val="32"/>
        </w:rPr>
        <w:t>及第三次全国农业普查办公经费、印刷费、劳务费、公务用车运行维护费和设备购置等支出。</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（四）财政拨款收入支出决算总体情况说明</w:t>
      </w:r>
    </w:p>
    <w:p>
      <w:pPr>
        <w:widowControl/>
        <w:spacing w:line="584" w:lineRule="exact"/>
        <w:ind w:firstLine="640" w:firstLineChars="200"/>
        <w:jc w:val="left"/>
        <w:rPr>
          <w:rFonts w:eastAsia="仿宋_GB2312"/>
          <w:sz w:val="32"/>
          <w:szCs w:val="32"/>
        </w:rPr>
      </w:pPr>
      <w:r>
        <w:rPr>
          <w:rFonts w:hint="eastAsia" w:ascii="Calibri" w:hAnsi="Calibri" w:eastAsia="仿宋_GB2312" w:cs="Times New Roman"/>
          <w:sz w:val="32"/>
          <w:szCs w:val="32"/>
        </w:rPr>
        <w:t>2</w:t>
      </w:r>
      <w:r>
        <w:rPr>
          <w:rFonts w:ascii="Calibri" w:hAnsi="Calibri" w:eastAsia="仿宋_GB2312" w:cs="Times New Roman"/>
          <w:sz w:val="32"/>
          <w:szCs w:val="32"/>
        </w:rPr>
        <w:t>016</w:t>
      </w:r>
      <w:r>
        <w:rPr>
          <w:rFonts w:hint="eastAsia" w:ascii="Calibri" w:hAnsi="Calibri" w:eastAsia="仿宋_GB2312" w:cs="Times New Roman"/>
          <w:sz w:val="32"/>
          <w:szCs w:val="32"/>
        </w:rPr>
        <w:t>年度</w:t>
      </w:r>
      <w:r>
        <w:rPr>
          <w:rFonts w:ascii="Calibri" w:hAnsi="Calibri" w:eastAsia="仿宋_GB2312" w:cs="Times New Roman"/>
          <w:sz w:val="32"/>
          <w:szCs w:val="32"/>
        </w:rPr>
        <w:t>本部门</w:t>
      </w:r>
      <w:r>
        <w:rPr>
          <w:rFonts w:hint="eastAsia" w:ascii="Calibri" w:hAnsi="Calibri" w:eastAsia="仿宋_GB2312" w:cs="Times New Roman"/>
          <w:sz w:val="32"/>
          <w:szCs w:val="32"/>
        </w:rPr>
        <w:t>财政拨款收入512万元，其中：</w:t>
      </w:r>
      <w:r>
        <w:rPr>
          <w:rFonts w:ascii="Calibri" w:hAnsi="Calibri" w:eastAsia="仿宋_GB2312" w:cs="Times New Roman"/>
          <w:sz w:val="32"/>
          <w:szCs w:val="32"/>
        </w:rPr>
        <w:t>一般公共预算财政拨款</w:t>
      </w:r>
      <w:r>
        <w:rPr>
          <w:rFonts w:hint="eastAsia" w:ascii="Calibri" w:hAnsi="Calibri" w:eastAsia="仿宋_GB2312" w:cs="Times New Roman"/>
          <w:sz w:val="32"/>
          <w:szCs w:val="32"/>
        </w:rPr>
        <w:t>5</w:t>
      </w:r>
      <w:r>
        <w:rPr>
          <w:rFonts w:ascii="Calibri" w:hAnsi="Calibri" w:eastAsia="仿宋_GB2312" w:cs="Times New Roman"/>
          <w:sz w:val="32"/>
          <w:szCs w:val="32"/>
        </w:rPr>
        <w:t>12</w:t>
      </w:r>
      <w:r>
        <w:rPr>
          <w:rFonts w:hint="eastAsia" w:ascii="Calibri" w:hAnsi="Calibri" w:eastAsia="仿宋_GB2312" w:cs="Times New Roman"/>
          <w:sz w:val="32"/>
          <w:szCs w:val="32"/>
        </w:rPr>
        <w:t>万元，</w:t>
      </w:r>
      <w:r>
        <w:rPr>
          <w:rFonts w:ascii="Calibri" w:hAnsi="Calibri" w:eastAsia="仿宋_GB2312" w:cs="Times New Roman"/>
          <w:sz w:val="32"/>
          <w:szCs w:val="32"/>
        </w:rPr>
        <w:t>基本支出</w:t>
      </w:r>
      <w:r>
        <w:rPr>
          <w:rFonts w:hint="eastAsia" w:ascii="Calibri" w:hAnsi="Calibri" w:eastAsia="仿宋_GB2312" w:cs="Times New Roman"/>
          <w:sz w:val="32"/>
          <w:szCs w:val="32"/>
        </w:rPr>
        <w:t>527万元，</w:t>
      </w:r>
      <w:r>
        <w:rPr>
          <w:rFonts w:hint="eastAsia" w:eastAsia="仿宋_GB2312"/>
          <w:sz w:val="32"/>
          <w:szCs w:val="32"/>
        </w:rPr>
        <w:t>，</w:t>
      </w:r>
      <w:r>
        <w:rPr>
          <w:rFonts w:eastAsia="仿宋_GB2312"/>
          <w:sz w:val="32"/>
          <w:szCs w:val="32"/>
        </w:rPr>
        <w:t>原因是</w:t>
      </w:r>
      <w:r>
        <w:rPr>
          <w:rFonts w:hint="eastAsia" w:eastAsia="仿宋_GB2312"/>
          <w:sz w:val="32"/>
          <w:szCs w:val="32"/>
        </w:rPr>
        <w:t>2016年</w:t>
      </w:r>
      <w:r>
        <w:rPr>
          <w:rFonts w:hint="eastAsia" w:ascii="仿宋" w:hAnsi="仿宋" w:eastAsia="仿宋" w:cs="仿宋"/>
          <w:sz w:val="32"/>
          <w:szCs w:val="32"/>
        </w:rPr>
        <w:t>增加人员经费支出，</w:t>
      </w:r>
      <w:r>
        <w:rPr>
          <w:rFonts w:ascii="仿宋" w:hAnsi="仿宋" w:eastAsia="仿宋" w:cs="仿宋"/>
          <w:sz w:val="32"/>
          <w:szCs w:val="32"/>
        </w:rPr>
        <w:t>调整工资</w:t>
      </w:r>
      <w:r>
        <w:rPr>
          <w:rFonts w:hint="eastAsia" w:ascii="仿宋" w:hAnsi="仿宋" w:eastAsia="仿宋" w:cs="仿宋"/>
          <w:sz w:val="32"/>
          <w:szCs w:val="32"/>
        </w:rPr>
        <w:t>及第三次全国农业普查办公经费、印刷费、劳务费、公务用车运行维护费和设备购置等支出。</w:t>
      </w:r>
      <w:r>
        <w:rPr>
          <w:rFonts w:hint="eastAsia" w:eastAsia="仿宋_GB2312"/>
          <w:sz w:val="32"/>
          <w:szCs w:val="32"/>
        </w:rPr>
        <w:t>。</w:t>
      </w:r>
    </w:p>
    <w:p>
      <w:pPr>
        <w:ind w:firstLine="640"/>
        <w:rPr>
          <w:rFonts w:ascii="仿宋" w:hAnsi="仿宋" w:eastAsia="仿宋"/>
          <w:sz w:val="32"/>
          <w:szCs w:val="32"/>
        </w:rPr>
      </w:pPr>
      <w:r>
        <w:rPr>
          <w:rFonts w:hint="eastAsia" w:ascii="仿宋_GB2312" w:hAnsi="仿宋_GB2312" w:eastAsia="仿宋_GB2312" w:cs="仿宋_GB2312"/>
          <w:sz w:val="32"/>
          <w:szCs w:val="32"/>
        </w:rPr>
        <w:t>2016年度财政拨款收入总计</w:t>
      </w:r>
      <w:r>
        <w:rPr>
          <w:rFonts w:ascii="仿宋" w:hAnsi="仿宋" w:eastAsia="仿宋"/>
          <w:sz w:val="32"/>
          <w:szCs w:val="32"/>
        </w:rPr>
        <w:t>512</w:t>
      </w:r>
      <w:r>
        <w:rPr>
          <w:rFonts w:hint="eastAsia" w:ascii="仿宋_GB2312" w:hAnsi="仿宋_GB2312" w:eastAsia="仿宋_GB2312" w:cs="仿宋_GB2312"/>
          <w:sz w:val="32"/>
          <w:szCs w:val="32"/>
        </w:rPr>
        <w:t>万元，其中：一般公共预算财政拨款收入</w:t>
      </w:r>
      <w:r>
        <w:rPr>
          <w:rFonts w:ascii="仿宋" w:hAnsi="仿宋" w:eastAsia="仿宋"/>
          <w:sz w:val="32"/>
          <w:szCs w:val="32"/>
        </w:rPr>
        <w:t>512</w:t>
      </w:r>
      <w:r>
        <w:rPr>
          <w:rFonts w:hint="eastAsia" w:ascii="仿宋_GB2312" w:hAnsi="仿宋_GB2312" w:eastAsia="仿宋_GB2312" w:cs="仿宋_GB2312"/>
          <w:sz w:val="32"/>
          <w:szCs w:val="32"/>
        </w:rPr>
        <w:t>万元，政府性基金预算财政拨款0万元，国有资本经营收入0万元， 2016年度财政拨款支出总计</w:t>
      </w:r>
      <w:r>
        <w:rPr>
          <w:rFonts w:ascii="仿宋" w:hAnsi="仿宋" w:eastAsia="仿宋"/>
          <w:sz w:val="32"/>
          <w:szCs w:val="32"/>
        </w:rPr>
        <w:t>527</w:t>
      </w:r>
      <w:r>
        <w:rPr>
          <w:rFonts w:hint="eastAsia" w:ascii="仿宋_GB2312" w:hAnsi="仿宋_GB2312" w:eastAsia="仿宋_GB2312" w:cs="仿宋_GB2312"/>
          <w:sz w:val="32"/>
          <w:szCs w:val="32"/>
        </w:rPr>
        <w:t>万元，其中一般公共预算财政拨款支出</w:t>
      </w:r>
      <w:r>
        <w:rPr>
          <w:rFonts w:ascii="仿宋" w:hAnsi="仿宋" w:eastAsia="仿宋"/>
          <w:sz w:val="32"/>
          <w:szCs w:val="32"/>
        </w:rPr>
        <w:t>527</w:t>
      </w:r>
      <w:r>
        <w:rPr>
          <w:rFonts w:hint="eastAsia" w:ascii="仿宋_GB2312" w:hAnsi="仿宋_GB2312" w:eastAsia="仿宋_GB2312" w:cs="仿宋_GB2312"/>
          <w:sz w:val="32"/>
          <w:szCs w:val="32"/>
        </w:rPr>
        <w:t>万元，主要为人员经费和日常公用经费及</w:t>
      </w:r>
      <w:r>
        <w:rPr>
          <w:rFonts w:hint="eastAsia" w:ascii="仿宋" w:hAnsi="仿宋" w:eastAsia="仿宋" w:cs="仿宋"/>
          <w:sz w:val="32"/>
          <w:szCs w:val="32"/>
        </w:rPr>
        <w:t>第三次全国农业普查办公经费、印刷费、劳务费、公务用车运行维护费和设备购置等支出。</w:t>
      </w:r>
    </w:p>
    <w:p>
      <w:pPr>
        <w:autoSpaceDE w:val="0"/>
        <w:autoSpaceDN w:val="0"/>
        <w:adjustRightInd w:val="0"/>
        <w:ind w:firstLine="645"/>
        <w:jc w:val="left"/>
        <w:rPr>
          <w:rFonts w:ascii="仿宋" w:hAnsi="仿宋" w:eastAsia="仿宋"/>
          <w:sz w:val="32"/>
          <w:szCs w:val="32"/>
        </w:rPr>
      </w:pPr>
      <w:r>
        <w:rPr>
          <w:rFonts w:hint="eastAsia" w:ascii="仿宋" w:hAnsi="仿宋" w:eastAsia="仿宋"/>
          <w:sz w:val="32"/>
          <w:szCs w:val="32"/>
        </w:rPr>
        <w:t>财政拨款支出与年初预算数对比情况。</w:t>
      </w:r>
      <w:r>
        <w:rPr>
          <w:rFonts w:ascii="仿宋" w:hAnsi="仿宋" w:eastAsia="仿宋"/>
          <w:sz w:val="32"/>
          <w:szCs w:val="32"/>
        </w:rPr>
        <w:t>2016</w:t>
      </w:r>
      <w:r>
        <w:rPr>
          <w:rFonts w:hint="eastAsia" w:ascii="仿宋" w:hAnsi="仿宋" w:eastAsia="仿宋"/>
          <w:sz w:val="32"/>
          <w:szCs w:val="32"/>
        </w:rPr>
        <w:t>年度决算财政拨款支出</w:t>
      </w:r>
      <w:r>
        <w:rPr>
          <w:rFonts w:ascii="仿宋" w:hAnsi="仿宋" w:eastAsia="仿宋"/>
          <w:sz w:val="32"/>
          <w:szCs w:val="32"/>
        </w:rPr>
        <w:t>512</w:t>
      </w:r>
      <w:r>
        <w:rPr>
          <w:rFonts w:hint="eastAsia" w:ascii="仿宋" w:hAnsi="仿宋" w:eastAsia="仿宋"/>
          <w:sz w:val="32"/>
          <w:szCs w:val="32"/>
        </w:rPr>
        <w:t>万元，较年初预算拨款</w:t>
      </w:r>
      <w:r>
        <w:rPr>
          <w:rFonts w:ascii="仿宋" w:hAnsi="仿宋" w:eastAsia="仿宋"/>
          <w:sz w:val="32"/>
          <w:szCs w:val="32"/>
        </w:rPr>
        <w:t>421</w:t>
      </w:r>
      <w:r>
        <w:rPr>
          <w:rFonts w:hint="eastAsia" w:ascii="仿宋" w:hAnsi="仿宋" w:eastAsia="仿宋"/>
          <w:sz w:val="32"/>
          <w:szCs w:val="32"/>
        </w:rPr>
        <w:t>万元，增加</w:t>
      </w:r>
      <w:r>
        <w:rPr>
          <w:rFonts w:ascii="仿宋" w:hAnsi="仿宋" w:eastAsia="仿宋"/>
          <w:sz w:val="32"/>
          <w:szCs w:val="32"/>
        </w:rPr>
        <w:t>91</w:t>
      </w:r>
      <w:r>
        <w:rPr>
          <w:rFonts w:hint="eastAsia" w:ascii="仿宋" w:hAnsi="仿宋" w:eastAsia="仿宋"/>
          <w:sz w:val="32"/>
          <w:szCs w:val="32"/>
        </w:rPr>
        <w:t>万元，主要原因为增加人员经费。</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（五）“三公”经费情况及增减变化原因</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2016年度部门“三公”经费支出 5.17  万元，比预算减少</w:t>
      </w:r>
      <w:r>
        <w:rPr>
          <w:rFonts w:hint="eastAsia" w:ascii="Calibri" w:hAnsi="Calibri" w:eastAsia="仿宋_GB2312" w:cs="Times New Roman"/>
          <w:sz w:val="32"/>
          <w:szCs w:val="32"/>
        </w:rPr>
        <w:t>2.1</w:t>
      </w:r>
      <w:r>
        <w:rPr>
          <w:rFonts w:ascii="Calibri" w:hAnsi="Calibri" w:eastAsia="仿宋_GB2312" w:cs="Times New Roman"/>
          <w:sz w:val="32"/>
          <w:szCs w:val="32"/>
        </w:rPr>
        <w:t xml:space="preserve">   万元，比2015年度决算减少</w:t>
      </w:r>
      <w:r>
        <w:rPr>
          <w:rFonts w:hint="eastAsia" w:ascii="Calibri" w:hAnsi="Calibri" w:eastAsia="仿宋_GB2312" w:cs="Times New Roman"/>
          <w:sz w:val="32"/>
          <w:szCs w:val="32"/>
        </w:rPr>
        <w:t>2.2</w:t>
      </w:r>
      <w:r>
        <w:rPr>
          <w:rFonts w:ascii="Calibri" w:hAnsi="Calibri" w:eastAsia="仿宋_GB2312" w:cs="Times New Roman"/>
          <w:sz w:val="32"/>
          <w:szCs w:val="32"/>
        </w:rPr>
        <w:t xml:space="preserve">   万元。</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其中：因公出国（境）费  0 万元（本单位2016年度组织出国（境）团组  个，因公出国（境）人次数  人），比预算增加（减少）   万元，比2015年度决算增加（减少）   万元，原因是      ；公务用车购置及运行维护费  4.4 万元（公务用车购置数量  辆，购置金额  万元，公车运行维护费</w:t>
      </w:r>
      <w:r>
        <w:rPr>
          <w:rFonts w:hint="eastAsia" w:ascii="Calibri" w:hAnsi="Calibri" w:eastAsia="仿宋_GB2312" w:cs="Times New Roman"/>
          <w:sz w:val="32"/>
          <w:szCs w:val="32"/>
        </w:rPr>
        <w:t>4.4</w:t>
      </w:r>
      <w:r>
        <w:rPr>
          <w:rFonts w:ascii="Calibri" w:hAnsi="Calibri" w:eastAsia="仿宋_GB2312" w:cs="Times New Roman"/>
          <w:sz w:val="32"/>
          <w:szCs w:val="32"/>
        </w:rPr>
        <w:t xml:space="preserve">  万元，年末公务用车保有量 1 辆），比预算减少0.8  万元，比2015年度决算减少  0.8 万元，原因是 </w:t>
      </w:r>
      <w:r>
        <w:rPr>
          <w:rFonts w:hint="eastAsia" w:ascii="Calibri" w:hAnsi="Calibri" w:eastAsia="仿宋_GB2312" w:cs="Times New Roman"/>
          <w:sz w:val="32"/>
          <w:szCs w:val="32"/>
        </w:rPr>
        <w:t>公车</w:t>
      </w:r>
      <w:r>
        <w:rPr>
          <w:rFonts w:ascii="Calibri" w:hAnsi="Calibri" w:eastAsia="仿宋_GB2312" w:cs="Times New Roman"/>
          <w:sz w:val="32"/>
          <w:szCs w:val="32"/>
        </w:rPr>
        <w:t>改革</w:t>
      </w:r>
      <w:r>
        <w:rPr>
          <w:rFonts w:hint="eastAsia" w:ascii="Calibri" w:hAnsi="Calibri" w:eastAsia="仿宋_GB2312" w:cs="Times New Roman"/>
          <w:sz w:val="32"/>
          <w:szCs w:val="32"/>
        </w:rPr>
        <w:t>，</w:t>
      </w:r>
      <w:r>
        <w:rPr>
          <w:rFonts w:hint="eastAsia" w:ascii="仿宋" w:hAnsi="仿宋" w:eastAsia="仿宋" w:cs="仿宋"/>
          <w:sz w:val="32"/>
          <w:szCs w:val="32"/>
        </w:rPr>
        <w:t>厉行节约，严控公车运维支出</w:t>
      </w:r>
      <w:r>
        <w:rPr>
          <w:rFonts w:ascii="Calibri" w:hAnsi="Calibri" w:eastAsia="仿宋_GB2312" w:cs="Times New Roman"/>
          <w:sz w:val="32"/>
          <w:szCs w:val="32"/>
        </w:rPr>
        <w:t xml:space="preserve"> ；公务接待费  0.6 万元（2016年度国内公务接待 10 批次，合计接待  59人次），比预算减少 1.3 万元，比2015年度决算减少 1.4 万元，原因是</w:t>
      </w:r>
      <w:r>
        <w:rPr>
          <w:rFonts w:hint="eastAsia" w:ascii="Calibri" w:hAnsi="Calibri" w:eastAsia="仿宋_GB2312" w:cs="Times New Roman"/>
          <w:sz w:val="32"/>
          <w:szCs w:val="32"/>
        </w:rPr>
        <w:t>节约开支，</w:t>
      </w:r>
      <w:r>
        <w:rPr>
          <w:rFonts w:hint="eastAsia" w:ascii="仿宋" w:hAnsi="仿宋" w:eastAsia="仿宋" w:cs="仿宋"/>
          <w:sz w:val="32"/>
          <w:szCs w:val="32"/>
        </w:rPr>
        <w:t>严格控制接待标准和费用</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（六）机关运行经费支出情况的说明</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2016年度部门机关运行经费支出 546 万元，比2015年度增加</w:t>
      </w:r>
      <w:r>
        <w:rPr>
          <w:rFonts w:hint="eastAsia" w:ascii="Calibri" w:hAnsi="Calibri" w:eastAsia="仿宋_GB2312" w:cs="Times New Roman"/>
          <w:sz w:val="32"/>
          <w:szCs w:val="32"/>
        </w:rPr>
        <w:t>198</w:t>
      </w:r>
      <w:r>
        <w:rPr>
          <w:rFonts w:ascii="Calibri" w:hAnsi="Calibri" w:eastAsia="仿宋_GB2312" w:cs="Times New Roman"/>
          <w:sz w:val="32"/>
          <w:szCs w:val="32"/>
        </w:rPr>
        <w:t xml:space="preserve"> 万元，原因是</w:t>
      </w:r>
      <w:r>
        <w:rPr>
          <w:rFonts w:hint="eastAsia" w:ascii="Calibri" w:hAnsi="Calibri" w:eastAsia="仿宋_GB2312" w:cs="Times New Roman"/>
          <w:sz w:val="32"/>
          <w:szCs w:val="32"/>
        </w:rPr>
        <w:t>工资调整，</w:t>
      </w:r>
      <w:r>
        <w:rPr>
          <w:rFonts w:hint="eastAsia" w:ascii="仿宋_GB2312" w:hAnsi="仿宋" w:eastAsia="仿宋_GB2312"/>
          <w:sz w:val="32"/>
          <w:szCs w:val="32"/>
        </w:rPr>
        <w:t>人员增加，日常运行支出增加</w:t>
      </w:r>
      <w:r>
        <w:rPr>
          <w:rFonts w:ascii="Calibri" w:hAnsi="Calibri" w:eastAsia="仿宋_GB2312" w:cs="Times New Roman"/>
          <w:sz w:val="32"/>
          <w:szCs w:val="32"/>
        </w:rPr>
        <w:t>。</w:t>
      </w:r>
    </w:p>
    <w:p>
      <w:pPr>
        <w:widowControl/>
        <w:spacing w:line="584" w:lineRule="exact"/>
        <w:ind w:firstLine="640" w:firstLineChars="200"/>
        <w:jc w:val="left"/>
        <w:rPr>
          <w:rFonts w:ascii="Calibri" w:hAnsi="Calibri" w:eastAsia="仿宋_GB2312" w:cs="Times New Roman"/>
          <w:sz w:val="32"/>
          <w:szCs w:val="32"/>
        </w:rPr>
      </w:pPr>
      <w:r>
        <w:rPr>
          <w:rFonts w:ascii="Calibri" w:hAnsi="Calibri" w:eastAsia="仿宋_GB2312" w:cs="Times New Roman"/>
          <w:sz w:val="32"/>
          <w:szCs w:val="32"/>
        </w:rPr>
        <w:t>（七）绩效预算信息</w:t>
      </w:r>
    </w:p>
    <w:p>
      <w:pPr>
        <w:shd w:val="solid" w:color="FFFFFF" w:fill="auto"/>
        <w:autoSpaceDN w:val="0"/>
        <w:spacing w:line="360" w:lineRule="atLeast"/>
        <w:ind w:firstLine="56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1、统计报表工作：按照全国统一的统计调查方案，组织开展工业、农业、能源、固定资产投资、房地产、建筑业、贸易业、服务业、外经等统计专业调查，确保调查对象不重不漏，统计数据真实可靠。</w:t>
      </w:r>
    </w:p>
    <w:p>
      <w:pPr>
        <w:shd w:val="solid" w:color="FFFFFF" w:fill="auto"/>
        <w:autoSpaceDN w:val="0"/>
        <w:spacing w:line="360" w:lineRule="atLeast"/>
        <w:ind w:firstLine="560"/>
        <w:rPr>
          <w:rFonts w:ascii="仿宋" w:hAnsi="仿宋" w:eastAsia="仿宋" w:cs="仿宋"/>
          <w:sz w:val="32"/>
          <w:szCs w:val="32"/>
        </w:rPr>
      </w:pPr>
      <w:r>
        <w:rPr>
          <w:rFonts w:hint="eastAsia" w:ascii="仿宋" w:hAnsi="仿宋" w:eastAsia="仿宋" w:cs="仿宋"/>
          <w:color w:val="000000"/>
          <w:sz w:val="32"/>
          <w:szCs w:val="32"/>
          <w:shd w:val="clear" w:color="auto" w:fill="FFFFFF"/>
        </w:rPr>
        <w:t>2、</w:t>
      </w:r>
      <w:r>
        <w:rPr>
          <w:rFonts w:hint="eastAsia" w:ascii="仿宋" w:hAnsi="仿宋" w:eastAsia="仿宋" w:cs="仿宋"/>
          <w:sz w:val="32"/>
          <w:szCs w:val="32"/>
        </w:rPr>
        <w:t>第三次全国农业普查工作。在市政府的统一领导下，与各乡镇（区、办）和市直各有关部门密切配合、通力协作，广泛开展普查宣传，加大普查员和普查指导员的培训力度，把握住普查清查摸底、正式登记、数据处理和质量评估等关键环节，确保圆满完成。</w:t>
      </w:r>
    </w:p>
    <w:p>
      <w:pPr>
        <w:shd w:val="solid" w:color="FFFFFF" w:fill="auto"/>
        <w:autoSpaceDN w:val="0"/>
        <w:spacing w:line="360" w:lineRule="atLeast"/>
        <w:ind w:firstLine="560"/>
        <w:rPr>
          <w:rFonts w:ascii="仿宋" w:hAnsi="仿宋" w:eastAsia="仿宋" w:cs="仿宋"/>
          <w:color w:val="000000"/>
          <w:sz w:val="32"/>
          <w:szCs w:val="32"/>
          <w:shd w:val="clear" w:color="auto" w:fill="FFFFFF"/>
        </w:rPr>
      </w:pPr>
      <w:r>
        <w:rPr>
          <w:rFonts w:hint="eastAsia" w:ascii="仿宋" w:hAnsi="仿宋" w:eastAsia="仿宋" w:cs="仿宋"/>
          <w:sz w:val="32"/>
          <w:szCs w:val="32"/>
        </w:rPr>
        <w:t>3、统计服务工作。</w:t>
      </w:r>
      <w:r>
        <w:rPr>
          <w:rFonts w:hint="eastAsia" w:ascii="仿宋" w:hAnsi="仿宋" w:eastAsia="仿宋" w:cs="仿宋"/>
          <w:color w:val="000000"/>
          <w:sz w:val="32"/>
          <w:szCs w:val="32"/>
          <w:shd w:val="clear" w:color="auto" w:fill="FFFFFF"/>
        </w:rPr>
        <w:t>定期撰写统计分析、统计调研资料及时上报市委市政府，利用政府信息公开平台发布统计公报，接待来局咨询人员，全面搞好统计服务。</w:t>
      </w:r>
    </w:p>
    <w:p>
      <w:pPr>
        <w:shd w:val="solid" w:color="FFFFFF" w:fill="auto"/>
        <w:autoSpaceDN w:val="0"/>
        <w:spacing w:line="360" w:lineRule="atLeast"/>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sz w:val="32"/>
          <w:szCs w:val="32"/>
          <w:shd w:val="clear" w:color="auto" w:fill="FFFFFF"/>
        </w:rPr>
        <w:t>4、统计信息现代化建设。</w:t>
      </w:r>
      <w:r>
        <w:rPr>
          <w:rFonts w:hint="eastAsia" w:ascii="仿宋" w:hAnsi="仿宋" w:eastAsia="仿宋" w:cs="仿宋"/>
          <w:color w:val="000000"/>
          <w:kern w:val="0"/>
          <w:sz w:val="32"/>
          <w:szCs w:val="32"/>
          <w:shd w:val="clear" w:color="auto" w:fill="FFFFFF"/>
        </w:rPr>
        <w:t>配备计算机专业技术人员，注重网络安全管理，加强网站建设，尽快完成乡镇VPDN统计数据专网建设。</w:t>
      </w:r>
    </w:p>
    <w:p>
      <w:pPr>
        <w:shd w:val="solid" w:color="FFFFFF" w:fill="auto"/>
        <w:autoSpaceDN w:val="0"/>
        <w:spacing w:line="360" w:lineRule="atLeast"/>
        <w:ind w:firstLine="560"/>
        <w:rPr>
          <w:rFonts w:ascii="仿宋" w:hAnsi="仿宋" w:eastAsia="仿宋" w:cs="仿宋"/>
          <w:sz w:val="32"/>
          <w:szCs w:val="32"/>
        </w:rPr>
      </w:pPr>
      <w:r>
        <w:rPr>
          <w:rFonts w:hint="eastAsia" w:ascii="仿宋" w:hAnsi="仿宋" w:eastAsia="仿宋" w:cs="仿宋"/>
          <w:color w:val="000000"/>
          <w:kern w:val="0"/>
          <w:sz w:val="32"/>
          <w:szCs w:val="32"/>
          <w:shd w:val="clear" w:color="auto" w:fill="FFFFFF"/>
        </w:rPr>
        <w:t>5、统计法制建设。加大统计法制宣传和统计法制宣传力度，</w:t>
      </w:r>
      <w:r>
        <w:rPr>
          <w:rFonts w:hint="eastAsia" w:ascii="仿宋" w:hAnsi="仿宋" w:eastAsia="仿宋" w:cs="仿宋"/>
          <w:sz w:val="32"/>
          <w:szCs w:val="32"/>
        </w:rPr>
        <w:t>全面落实依法治统。</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(八) 政府采购决算情况</w:t>
      </w:r>
    </w:p>
    <w:p>
      <w:pPr>
        <w:autoSpaceDE w:val="0"/>
        <w:autoSpaceDN w:val="0"/>
        <w:adjustRightInd w:val="0"/>
        <w:spacing w:line="584" w:lineRule="exact"/>
        <w:ind w:firstLine="640" w:firstLineChars="200"/>
        <w:jc w:val="left"/>
        <w:rPr>
          <w:rFonts w:ascii="Calibri" w:hAnsi="Calibri" w:eastAsia="仿宋_GB2312" w:cs="Times New Roman"/>
          <w:color w:val="333333"/>
          <w:kern w:val="0"/>
          <w:sz w:val="32"/>
          <w:szCs w:val="32"/>
          <w:shd w:val="clear" w:color="auto" w:fill="FFFFFF"/>
        </w:rPr>
      </w:pPr>
      <w:r>
        <w:rPr>
          <w:rFonts w:ascii="仿宋" w:hAnsi="仿宋" w:eastAsia="仿宋" w:cs="Times New Roman"/>
          <w:sz w:val="32"/>
          <w:szCs w:val="32"/>
        </w:rPr>
        <w:t>2017年，</w:t>
      </w:r>
      <w:r>
        <w:rPr>
          <w:rFonts w:hint="eastAsia" w:ascii="仿宋" w:hAnsi="仿宋" w:eastAsia="仿宋" w:cs="Times New Roman"/>
          <w:sz w:val="32"/>
          <w:szCs w:val="32"/>
        </w:rPr>
        <w:t>我部门没有</w:t>
      </w:r>
      <w:r>
        <w:rPr>
          <w:rFonts w:ascii="仿宋" w:hAnsi="仿宋" w:eastAsia="仿宋" w:cs="Times New Roman"/>
          <w:sz w:val="32"/>
          <w:szCs w:val="32"/>
        </w:rPr>
        <w:t>安排政府采购</w:t>
      </w:r>
      <w:r>
        <w:rPr>
          <w:rFonts w:ascii="Calibri" w:hAnsi="Calibri" w:eastAsia="仿宋_GB2312" w:cs="Times New Roman"/>
          <w:color w:val="333333"/>
          <w:kern w:val="0"/>
          <w:sz w:val="32"/>
          <w:szCs w:val="32"/>
          <w:shd w:val="clear" w:color="auto" w:fill="FFFFFF"/>
        </w:rPr>
        <w:t>。</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sz w:val="32"/>
          <w:szCs w:val="32"/>
        </w:rPr>
        <w:t>（九）国有资产信息</w:t>
      </w:r>
    </w:p>
    <w:p>
      <w:pPr>
        <w:spacing w:line="584" w:lineRule="exact"/>
        <w:ind w:firstLine="640" w:firstLineChars="200"/>
        <w:rPr>
          <w:rFonts w:ascii="Calibri" w:hAnsi="Calibri" w:eastAsia="仿宋_GB2312" w:cs="Times New Roman"/>
          <w:sz w:val="32"/>
          <w:szCs w:val="32"/>
        </w:rPr>
      </w:pPr>
      <w:r>
        <w:rPr>
          <w:rFonts w:ascii="Calibri" w:hAnsi="Calibri" w:eastAsia="仿宋_GB2312" w:cs="Times New Roman"/>
          <w:color w:val="3E3E3E"/>
          <w:sz w:val="32"/>
          <w:szCs w:val="32"/>
        </w:rPr>
        <w:t>截至2016年12月31日，本部门共有</w:t>
      </w:r>
      <w:r>
        <w:rPr>
          <w:rFonts w:hint="eastAsia" w:ascii="Calibri" w:hAnsi="Calibri" w:eastAsia="仿宋_GB2312" w:cs="Times New Roman"/>
          <w:color w:val="3E3E3E"/>
          <w:sz w:val="32"/>
          <w:szCs w:val="32"/>
        </w:rPr>
        <w:t>1辆一般</w:t>
      </w:r>
      <w:r>
        <w:rPr>
          <w:rFonts w:ascii="Calibri" w:hAnsi="Calibri" w:eastAsia="仿宋_GB2312" w:cs="Times New Roman"/>
          <w:color w:val="3E3E3E"/>
          <w:sz w:val="32"/>
          <w:szCs w:val="32"/>
        </w:rPr>
        <w:t>公务用车</w:t>
      </w:r>
      <w:r>
        <w:rPr>
          <w:rFonts w:hint="eastAsia" w:ascii="Calibri" w:hAnsi="Calibri" w:eastAsia="仿宋_GB2312" w:cs="Times New Roman"/>
          <w:color w:val="3E3E3E"/>
          <w:sz w:val="32"/>
          <w:szCs w:val="32"/>
        </w:rPr>
        <w:t>.</w:t>
      </w:r>
    </w:p>
    <w:p>
      <w:pPr>
        <w:ind w:firstLine="640" w:firstLineChars="200"/>
        <w:rPr>
          <w:rFonts w:ascii="Calibri" w:hAnsi="Calibri" w:eastAsia="仿宋_GB2312" w:cs="Times New Roman"/>
          <w:sz w:val="32"/>
          <w:szCs w:val="32"/>
        </w:rPr>
      </w:pPr>
      <w:r>
        <w:rPr>
          <w:rFonts w:ascii="Calibri" w:hAnsi="Calibri" w:eastAsia="仿宋_GB2312" w:cs="Times New Roman"/>
          <w:sz w:val="32"/>
          <w:szCs w:val="32"/>
        </w:rPr>
        <w:t>（十）其他需要说明的情况</w:t>
      </w:r>
      <w:r>
        <w:rPr>
          <w:rFonts w:hint="eastAsia" w:ascii="Calibri" w:hAnsi="Calibri" w:eastAsia="仿宋_GB2312" w:cs="Times New Roman"/>
          <w:sz w:val="32"/>
          <w:szCs w:val="32"/>
        </w:rPr>
        <w:t>:</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p>
      <w:pPr>
        <w:spacing w:line="584" w:lineRule="exact"/>
        <w:ind w:firstLine="1273" w:firstLineChars="398"/>
        <w:rPr>
          <w:rFonts w:eastAsia="黑体"/>
          <w:sz w:val="32"/>
          <w:szCs w:val="32"/>
        </w:rPr>
      </w:pPr>
      <w:r>
        <w:rPr>
          <w:rFonts w:hint="eastAsia" w:eastAsia="黑体"/>
          <w:sz w:val="32"/>
          <w:szCs w:val="32"/>
        </w:rPr>
        <w:t>四、</w:t>
      </w:r>
      <w:r>
        <w:rPr>
          <w:rFonts w:ascii="Calibri" w:hAnsi="Calibri" w:eastAsia="黑体" w:cs="Times New Roman"/>
          <w:sz w:val="32"/>
          <w:szCs w:val="32"/>
        </w:rPr>
        <w:t>名词解释</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（一）财政拨款收入：</w:t>
      </w:r>
      <w:r>
        <w:rPr>
          <w:rFonts w:hint="eastAsia" w:ascii="仿宋_GB2312" w:hAnsi="黑体" w:eastAsia="仿宋_GB2312"/>
          <w:sz w:val="32"/>
          <w:szCs w:val="32"/>
        </w:rPr>
        <w:t>本年度从本级财政部门取得的财政拨款，包括一般公共预算财政拨款和政府性基金预算财政拨款。</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（二）事业收入：</w:t>
      </w:r>
      <w:r>
        <w:rPr>
          <w:rFonts w:hint="eastAsia" w:ascii="仿宋_GB2312" w:hAnsi="黑体" w:eastAsia="仿宋_GB2312"/>
          <w:sz w:val="32"/>
          <w:szCs w:val="32"/>
        </w:rPr>
        <w:t>指事业单位开展专业业务活动及辅助活动所取得的收入。</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（三）其他收入：</w:t>
      </w:r>
      <w:r>
        <w:rPr>
          <w:rFonts w:hint="eastAsia" w:ascii="仿宋_GB2312" w:hAnsi="黑体" w:eastAsia="仿宋_GB2312"/>
          <w:sz w:val="32"/>
          <w:szCs w:val="32"/>
        </w:rPr>
        <w:t>指除上述“财政拨款收入”、“事业收入”、“经营收入”等以外的收入。</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（四）用事业基金弥补收支差额：</w:t>
      </w:r>
      <w:r>
        <w:rPr>
          <w:rFonts w:hint="eastAsia" w:ascii="仿宋_GB2312" w:hAnsi="黑体" w:eastAsia="仿宋_GB2312"/>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（五）年初结转和结余：</w:t>
      </w:r>
      <w:r>
        <w:rPr>
          <w:rFonts w:hint="eastAsia" w:ascii="仿宋_GB2312" w:hAnsi="黑体" w:eastAsia="仿宋_GB2312"/>
          <w:sz w:val="32"/>
          <w:szCs w:val="32"/>
        </w:rPr>
        <w:t>指以前年度尚未完成、结转到本年仍按原规定用途继续使用的资金，或项目已完成等产生的结余资金。</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（六）结余分配：</w:t>
      </w:r>
      <w:r>
        <w:rPr>
          <w:rFonts w:hint="eastAsia" w:ascii="仿宋_GB2312" w:hAnsi="黑体" w:eastAsia="仿宋_GB2312"/>
          <w:sz w:val="32"/>
          <w:szCs w:val="32"/>
        </w:rPr>
        <w:t>指事业单位按照事业单位会计制度的规定从非财政补助结余中分配的事业基金和职工福利基金等。</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（七）年末结转和结余：</w:t>
      </w:r>
      <w:r>
        <w:rPr>
          <w:rFonts w:hint="eastAsia" w:ascii="仿宋_GB2312" w:hAnsi="黑体" w:eastAsia="仿宋_GB2312"/>
          <w:sz w:val="32"/>
          <w:szCs w:val="32"/>
        </w:rPr>
        <w:t>指单位按有关规定结转到下年或以后年度继续使用的资金，或项目已完成等产生的结余资金。</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（八）基本支出：</w:t>
      </w:r>
      <w:r>
        <w:rPr>
          <w:rFonts w:hint="eastAsia" w:ascii="仿宋_GB2312" w:hAnsi="黑体" w:eastAsia="仿宋_GB2312"/>
          <w:sz w:val="32"/>
          <w:szCs w:val="32"/>
        </w:rPr>
        <w:t>填列单位为保障机构正常运转、完成日常工作任务而发生的各项支出。</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（九）项目支出：</w:t>
      </w:r>
      <w:r>
        <w:rPr>
          <w:rFonts w:hint="eastAsia" w:ascii="仿宋_GB2312" w:hAnsi="黑体" w:eastAsia="仿宋_GB2312"/>
          <w:sz w:val="32"/>
          <w:szCs w:val="32"/>
        </w:rPr>
        <w:t>填列单位为完成特定的行政工作任务或事业发展目标，在基本支出之外发生的各项支出。</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（十）基本建设支出：</w:t>
      </w:r>
      <w:r>
        <w:rPr>
          <w:rFonts w:hint="eastAsia" w:ascii="仿宋_GB2312" w:hAnsi="黑体" w:eastAsia="仿宋_GB2312"/>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（十一）其他资本性支出：</w:t>
      </w:r>
      <w:r>
        <w:rPr>
          <w:rFonts w:hint="eastAsia" w:ascii="仿宋_GB2312" w:hAnsi="黑体" w:eastAsia="仿宋_GB2312"/>
          <w:sz w:val="32"/>
          <w:szCs w:val="32"/>
        </w:rPr>
        <w:t>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（十二）“三公”经费：</w:t>
      </w:r>
      <w:r>
        <w:rPr>
          <w:rFonts w:hint="eastAsia" w:ascii="仿宋_GB2312" w:hAnsi="黑体" w:eastAsia="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（十三）其他交通费用：</w:t>
      </w:r>
      <w:r>
        <w:rPr>
          <w:rFonts w:hint="eastAsia" w:ascii="仿宋_GB2312" w:hAnsi="黑体" w:eastAsia="仿宋_GB2312"/>
          <w:sz w:val="32"/>
          <w:szCs w:val="32"/>
        </w:rPr>
        <w:t>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（十四）公务用车购置：</w:t>
      </w:r>
      <w:r>
        <w:rPr>
          <w:rFonts w:hint="eastAsia" w:ascii="仿宋_GB2312" w:hAnsi="黑体" w:eastAsia="仿宋_GB2312"/>
          <w:sz w:val="32"/>
          <w:szCs w:val="32"/>
        </w:rPr>
        <w:t>填列单位公务用车车辆购置支出（含车辆购置税）。</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（十五）其他交通工具购置：</w:t>
      </w:r>
      <w:r>
        <w:rPr>
          <w:rFonts w:hint="eastAsia" w:ascii="仿宋_GB2312" w:hAnsi="黑体" w:eastAsia="仿宋_GB2312"/>
          <w:sz w:val="32"/>
          <w:szCs w:val="32"/>
        </w:rPr>
        <w:t>填列单位除公务用车外的其他各类交通工具（如船舶、飞机）购置支出（含车辆购置税）。</w:t>
      </w:r>
    </w:p>
    <w:p>
      <w:pPr>
        <w:autoSpaceDE w:val="0"/>
        <w:autoSpaceDN w:val="0"/>
        <w:snapToGrid w:val="0"/>
        <w:spacing w:line="520" w:lineRule="exact"/>
        <w:ind w:firstLine="645"/>
        <w:rPr>
          <w:rFonts w:hint="eastAsia" w:ascii="仿宋_GB2312" w:hAnsi="黑体" w:eastAsia="仿宋_GB2312"/>
          <w:sz w:val="32"/>
          <w:szCs w:val="32"/>
        </w:rPr>
      </w:pPr>
      <w:r>
        <w:rPr>
          <w:rFonts w:hint="eastAsia" w:ascii="楷体" w:hAnsi="楷体" w:eastAsia="楷体"/>
          <w:b/>
          <w:sz w:val="32"/>
          <w:szCs w:val="32"/>
        </w:rPr>
        <w:t>（十六） 机关运行经费：</w:t>
      </w:r>
      <w:r>
        <w:rPr>
          <w:rFonts w:hint="eastAsia" w:ascii="仿宋_GB2312" w:hAnsi="黑体" w:eastAsia="仿宋_GB2312"/>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ascii="仿宋_GB2312" w:hAnsi="黑体" w:eastAsia="仿宋_GB2312" w:cs="Times New Roman"/>
          <w:color w:val="FF000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1E38"/>
    <w:rsid w:val="00011744"/>
    <w:rsid w:val="000226AE"/>
    <w:rsid w:val="00037AF6"/>
    <w:rsid w:val="00045A61"/>
    <w:rsid w:val="00055D09"/>
    <w:rsid w:val="0005683C"/>
    <w:rsid w:val="00075D5F"/>
    <w:rsid w:val="000919A1"/>
    <w:rsid w:val="000A02C6"/>
    <w:rsid w:val="000C3A19"/>
    <w:rsid w:val="000D740D"/>
    <w:rsid w:val="000F5A75"/>
    <w:rsid w:val="001245BB"/>
    <w:rsid w:val="00135FD0"/>
    <w:rsid w:val="0018479D"/>
    <w:rsid w:val="001B17E7"/>
    <w:rsid w:val="001B4654"/>
    <w:rsid w:val="00214BB8"/>
    <w:rsid w:val="002160C0"/>
    <w:rsid w:val="00241FD4"/>
    <w:rsid w:val="00242781"/>
    <w:rsid w:val="00251B12"/>
    <w:rsid w:val="00260399"/>
    <w:rsid w:val="002645FB"/>
    <w:rsid w:val="002713C5"/>
    <w:rsid w:val="00296113"/>
    <w:rsid w:val="002A215D"/>
    <w:rsid w:val="002F3E58"/>
    <w:rsid w:val="002F4AF0"/>
    <w:rsid w:val="0030542C"/>
    <w:rsid w:val="00311AF2"/>
    <w:rsid w:val="00311B7A"/>
    <w:rsid w:val="00325F0F"/>
    <w:rsid w:val="0038086D"/>
    <w:rsid w:val="00390A62"/>
    <w:rsid w:val="003A0392"/>
    <w:rsid w:val="003A3EEE"/>
    <w:rsid w:val="003B35BC"/>
    <w:rsid w:val="003E1A7F"/>
    <w:rsid w:val="003E52B7"/>
    <w:rsid w:val="00410F81"/>
    <w:rsid w:val="00451871"/>
    <w:rsid w:val="004631C1"/>
    <w:rsid w:val="00472923"/>
    <w:rsid w:val="004746DB"/>
    <w:rsid w:val="00494096"/>
    <w:rsid w:val="004A0A98"/>
    <w:rsid w:val="004E3066"/>
    <w:rsid w:val="004E74CD"/>
    <w:rsid w:val="0050738A"/>
    <w:rsid w:val="0052680D"/>
    <w:rsid w:val="00541457"/>
    <w:rsid w:val="005453F3"/>
    <w:rsid w:val="00546FD7"/>
    <w:rsid w:val="00573147"/>
    <w:rsid w:val="00573562"/>
    <w:rsid w:val="00590472"/>
    <w:rsid w:val="005B7DE3"/>
    <w:rsid w:val="005D77B1"/>
    <w:rsid w:val="005E20EB"/>
    <w:rsid w:val="00614A29"/>
    <w:rsid w:val="00623114"/>
    <w:rsid w:val="00623765"/>
    <w:rsid w:val="006374C5"/>
    <w:rsid w:val="0064273C"/>
    <w:rsid w:val="00684188"/>
    <w:rsid w:val="00690D11"/>
    <w:rsid w:val="006A1C7F"/>
    <w:rsid w:val="006F6EC5"/>
    <w:rsid w:val="007318E6"/>
    <w:rsid w:val="00732A90"/>
    <w:rsid w:val="00741EC8"/>
    <w:rsid w:val="0075393C"/>
    <w:rsid w:val="007722EB"/>
    <w:rsid w:val="00773FD0"/>
    <w:rsid w:val="00776C08"/>
    <w:rsid w:val="007A11A0"/>
    <w:rsid w:val="007B4EE0"/>
    <w:rsid w:val="007C280D"/>
    <w:rsid w:val="007E0058"/>
    <w:rsid w:val="007E1DA8"/>
    <w:rsid w:val="007F6C26"/>
    <w:rsid w:val="00801227"/>
    <w:rsid w:val="008071BA"/>
    <w:rsid w:val="008334AE"/>
    <w:rsid w:val="00836FED"/>
    <w:rsid w:val="00845CD2"/>
    <w:rsid w:val="008502D8"/>
    <w:rsid w:val="00852B0D"/>
    <w:rsid w:val="008611C7"/>
    <w:rsid w:val="00881692"/>
    <w:rsid w:val="008A348E"/>
    <w:rsid w:val="008B3CC5"/>
    <w:rsid w:val="008C2BAF"/>
    <w:rsid w:val="008E4261"/>
    <w:rsid w:val="008F43CD"/>
    <w:rsid w:val="008F4662"/>
    <w:rsid w:val="00905D08"/>
    <w:rsid w:val="00925753"/>
    <w:rsid w:val="00932521"/>
    <w:rsid w:val="00936D64"/>
    <w:rsid w:val="00952E5C"/>
    <w:rsid w:val="00966C5C"/>
    <w:rsid w:val="00973104"/>
    <w:rsid w:val="0098798C"/>
    <w:rsid w:val="009B749A"/>
    <w:rsid w:val="00A42DC4"/>
    <w:rsid w:val="00A668FE"/>
    <w:rsid w:val="00A72D2E"/>
    <w:rsid w:val="00A911E7"/>
    <w:rsid w:val="00A939D9"/>
    <w:rsid w:val="00AC63B4"/>
    <w:rsid w:val="00B14BEC"/>
    <w:rsid w:val="00B20712"/>
    <w:rsid w:val="00B218B0"/>
    <w:rsid w:val="00B30A9E"/>
    <w:rsid w:val="00B43238"/>
    <w:rsid w:val="00B55E85"/>
    <w:rsid w:val="00B75216"/>
    <w:rsid w:val="00B8099D"/>
    <w:rsid w:val="00B9175E"/>
    <w:rsid w:val="00B91D52"/>
    <w:rsid w:val="00B93060"/>
    <w:rsid w:val="00BA1ACD"/>
    <w:rsid w:val="00BE3A98"/>
    <w:rsid w:val="00BF33AE"/>
    <w:rsid w:val="00BF7510"/>
    <w:rsid w:val="00C73A0C"/>
    <w:rsid w:val="00CA2252"/>
    <w:rsid w:val="00CA2FDF"/>
    <w:rsid w:val="00CA7176"/>
    <w:rsid w:val="00CD2773"/>
    <w:rsid w:val="00CE143B"/>
    <w:rsid w:val="00CF235E"/>
    <w:rsid w:val="00D43A15"/>
    <w:rsid w:val="00D63054"/>
    <w:rsid w:val="00D64490"/>
    <w:rsid w:val="00DA2890"/>
    <w:rsid w:val="00E167C7"/>
    <w:rsid w:val="00E551C6"/>
    <w:rsid w:val="00E76778"/>
    <w:rsid w:val="00EA1B39"/>
    <w:rsid w:val="00EC47F6"/>
    <w:rsid w:val="00ED76B1"/>
    <w:rsid w:val="00EE1B43"/>
    <w:rsid w:val="00EF1404"/>
    <w:rsid w:val="00F07605"/>
    <w:rsid w:val="00F153EF"/>
    <w:rsid w:val="00F17557"/>
    <w:rsid w:val="00F440E5"/>
    <w:rsid w:val="00F540F4"/>
    <w:rsid w:val="00F66032"/>
    <w:rsid w:val="00F958C2"/>
    <w:rsid w:val="00FC6AC0"/>
    <w:rsid w:val="00FD3917"/>
    <w:rsid w:val="00FF1AAA"/>
    <w:rsid w:val="31A918F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rPr>
      <w:sz w:val="18"/>
      <w:szCs w:val="18"/>
    </w:rPr>
  </w:style>
  <w:style w:type="paragraph" w:styleId="3">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paragraph" w:styleId="7">
    <w:name w:val="Normal (Web)"/>
    <w:basedOn w:val="1"/>
    <w:semiHidden/>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4"/>
    <w:uiPriority w:val="0"/>
    <w:rPr>
      <w:rFonts w:ascii="Times New Roman" w:hAnsi="Times New Roman" w:eastAsia="宋体" w:cs="Times New Roman"/>
      <w:sz w:val="18"/>
      <w:szCs w:val="18"/>
    </w:rPr>
  </w:style>
  <w:style w:type="character" w:customStyle="1" w:styleId="11">
    <w:name w:val="页脚 Char"/>
    <w:basedOn w:val="8"/>
    <w:link w:val="3"/>
    <w:uiPriority w:val="0"/>
    <w:rPr>
      <w:rFonts w:ascii="Times New Roman" w:hAnsi="Times New Roman" w:eastAsia="宋体" w:cs="Times New Roman"/>
      <w:sz w:val="18"/>
      <w:szCs w:val="18"/>
    </w:rPr>
  </w:style>
  <w:style w:type="paragraph" w:customStyle="1" w:styleId="12">
    <w:name w:val="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13">
    <w:name w:val="List Paragraph"/>
    <w:basedOn w:val="1"/>
    <w:qFormat/>
    <w:uiPriority w:val="34"/>
    <w:pPr>
      <w:ind w:firstLine="420" w:firstLineChars="200"/>
    </w:pPr>
  </w:style>
  <w:style w:type="character" w:customStyle="1" w:styleId="14">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8D9C4-33A3-4DFB-AB61-6806BEA39F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619</Words>
  <Characters>3529</Characters>
  <Lines>29</Lines>
  <Paragraphs>8</Paragraphs>
  <TotalTime>0</TotalTime>
  <ScaleCrop>false</ScaleCrop>
  <LinksUpToDate>false</LinksUpToDate>
  <CharactersWithSpaces>4140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2017-10-25T08:57:00Z</dcterms:created>
  <dc:creator>guest</dc:creator>
  <cp:lastModifiedBy>jszx</cp:lastModifiedBy>
  <cp:lastPrinted>2017-10-31T06:50:00Z</cp:lastPrinted>
  <dcterms:modified xsi:type="dcterms:W3CDTF">2017-11-14T08:54:37Z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